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F2" w:rsidRPr="000671F2" w:rsidRDefault="000671F2" w:rsidP="000671F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УТВЕРЖДЕНО</w:t>
      </w:r>
    </w:p>
    <w:p w:rsidR="000671F2" w:rsidRPr="000671F2" w:rsidRDefault="000671F2" w:rsidP="000671F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решением Общего собрания Ассоциации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</w:p>
    <w:p w:rsidR="000671F2" w:rsidRPr="000671F2" w:rsidRDefault="000671F2" w:rsidP="000671F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Производителей </w:t>
      </w:r>
      <w:r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и 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По</w:t>
      </w:r>
      <w:r>
        <w:rPr>
          <w:rFonts w:ascii="Arial" w:eastAsia="Times New Roman" w:hAnsi="Arial" w:cs="Arial"/>
          <w:color w:val="343434"/>
          <w:sz w:val="24"/>
          <w:szCs w:val="24"/>
          <w:lang w:val="ru-RU"/>
        </w:rPr>
        <w:t>требителей ДПК</w:t>
      </w:r>
    </w:p>
    <w:p w:rsidR="000671F2" w:rsidRPr="000671F2" w:rsidRDefault="000671F2" w:rsidP="000671F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i/>
          <w:iCs/>
          <w:color w:val="343434"/>
          <w:sz w:val="24"/>
          <w:szCs w:val="24"/>
          <w:lang w:val="ru-RU"/>
        </w:rPr>
        <w:t xml:space="preserve">(Протокол № 1 от 9 </w:t>
      </w:r>
      <w:r w:rsidRPr="000671F2">
        <w:rPr>
          <w:rFonts w:ascii="Arial" w:eastAsia="Times New Roman" w:hAnsi="Arial" w:cs="Arial"/>
          <w:i/>
          <w:iCs/>
          <w:color w:val="343434"/>
          <w:sz w:val="24"/>
          <w:szCs w:val="24"/>
        </w:rPr>
        <w:t> </w:t>
      </w:r>
      <w:r>
        <w:rPr>
          <w:rFonts w:ascii="Arial" w:eastAsia="Times New Roman" w:hAnsi="Arial" w:cs="Arial"/>
          <w:i/>
          <w:iCs/>
          <w:color w:val="343434"/>
          <w:sz w:val="24"/>
          <w:szCs w:val="24"/>
          <w:lang w:val="ru-RU"/>
        </w:rPr>
        <w:t>февраля 2017</w:t>
      </w:r>
      <w:r w:rsidRPr="000671F2">
        <w:rPr>
          <w:rFonts w:ascii="Arial" w:eastAsia="Times New Roman" w:hAnsi="Arial" w:cs="Arial"/>
          <w:i/>
          <w:iCs/>
          <w:color w:val="343434"/>
          <w:sz w:val="24"/>
          <w:szCs w:val="24"/>
          <w:lang w:val="ru-RU"/>
        </w:rPr>
        <w:t xml:space="preserve"> г.)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</w:p>
    <w:p w:rsidR="000671F2" w:rsidRPr="000671F2" w:rsidRDefault="000671F2" w:rsidP="000671F2">
      <w:pPr>
        <w:shd w:val="clear" w:color="auto" w:fill="FFFFFF"/>
        <w:spacing w:before="300" w:after="150" w:line="240" w:lineRule="auto"/>
        <w:jc w:val="center"/>
        <w:outlineLvl w:val="1"/>
        <w:rPr>
          <w:rFonts w:ascii="Segoe UI" w:eastAsia="Times New Roman" w:hAnsi="Segoe UI" w:cs="Segoe UI"/>
          <w:color w:val="00633C"/>
          <w:sz w:val="45"/>
          <w:szCs w:val="45"/>
          <w:lang w:val="ru-RU"/>
        </w:rPr>
      </w:pPr>
      <w:r w:rsidRPr="000671F2">
        <w:rPr>
          <w:rFonts w:ascii="Segoe UI" w:eastAsia="Times New Roman" w:hAnsi="Segoe UI" w:cs="Segoe UI"/>
          <w:color w:val="00633C"/>
          <w:sz w:val="45"/>
          <w:szCs w:val="45"/>
        </w:rPr>
        <w:t> </w:t>
      </w:r>
    </w:p>
    <w:p w:rsidR="000671F2" w:rsidRPr="000671F2" w:rsidRDefault="000671F2" w:rsidP="000671F2">
      <w:pPr>
        <w:shd w:val="clear" w:color="auto" w:fill="FFFFFF"/>
        <w:spacing w:before="300" w:after="150" w:line="240" w:lineRule="auto"/>
        <w:jc w:val="center"/>
        <w:outlineLvl w:val="1"/>
        <w:rPr>
          <w:rFonts w:ascii="Segoe UI" w:eastAsia="Times New Roman" w:hAnsi="Segoe UI" w:cs="Segoe UI"/>
          <w:color w:val="00633C"/>
          <w:sz w:val="45"/>
          <w:szCs w:val="45"/>
          <w:lang w:val="ru-RU"/>
        </w:rPr>
      </w:pPr>
      <w:r w:rsidRPr="000671F2">
        <w:rPr>
          <w:rFonts w:ascii="Segoe UI" w:eastAsia="Times New Roman" w:hAnsi="Segoe UI" w:cs="Segoe UI"/>
          <w:color w:val="000000"/>
          <w:sz w:val="45"/>
          <w:szCs w:val="45"/>
          <w:lang w:val="ru-RU"/>
        </w:rPr>
        <w:t>ПОЛОЖЕНИЕ</w:t>
      </w:r>
      <w:r w:rsidRPr="000671F2">
        <w:rPr>
          <w:rFonts w:ascii="Segoe UI" w:eastAsia="Times New Roman" w:hAnsi="Segoe UI" w:cs="Segoe UI"/>
          <w:color w:val="000000"/>
          <w:sz w:val="45"/>
          <w:szCs w:val="45"/>
        </w:rPr>
        <w:t> </w:t>
      </w:r>
      <w:r w:rsidRPr="000671F2">
        <w:rPr>
          <w:rFonts w:ascii="Segoe UI" w:eastAsia="Times New Roman" w:hAnsi="Segoe UI" w:cs="Segoe UI"/>
          <w:color w:val="00633C"/>
          <w:sz w:val="45"/>
          <w:szCs w:val="45"/>
          <w:lang w:val="ru-RU"/>
        </w:rPr>
        <w:br/>
      </w:r>
      <w:r w:rsidRPr="000671F2">
        <w:rPr>
          <w:rFonts w:ascii="Segoe UI" w:eastAsia="Times New Roman" w:hAnsi="Segoe UI" w:cs="Segoe UI"/>
          <w:color w:val="000000"/>
          <w:sz w:val="45"/>
          <w:szCs w:val="45"/>
          <w:lang w:val="ru-RU"/>
        </w:rPr>
        <w:t>О порядке уплаты взносов</w:t>
      </w:r>
      <w:r w:rsidRPr="000671F2">
        <w:rPr>
          <w:rFonts w:ascii="Segoe UI" w:eastAsia="Times New Roman" w:hAnsi="Segoe UI" w:cs="Segoe UI"/>
          <w:color w:val="000000"/>
          <w:sz w:val="45"/>
          <w:szCs w:val="45"/>
          <w:lang w:val="ru-RU"/>
        </w:rPr>
        <w:br/>
        <w:t>членами некоммерческой организации</w:t>
      </w:r>
      <w:r w:rsidRPr="000671F2">
        <w:rPr>
          <w:rFonts w:ascii="Segoe UI" w:eastAsia="Times New Roman" w:hAnsi="Segoe UI" w:cs="Segoe UI"/>
          <w:color w:val="000000"/>
          <w:sz w:val="45"/>
          <w:szCs w:val="45"/>
          <w:lang w:val="ru-RU"/>
        </w:rPr>
        <w:br/>
        <w:t>Ассоциация Производителей По</w:t>
      </w:r>
      <w:r>
        <w:rPr>
          <w:rFonts w:ascii="Segoe UI" w:eastAsia="Times New Roman" w:hAnsi="Segoe UI" w:cs="Segoe UI"/>
          <w:color w:val="000000"/>
          <w:sz w:val="45"/>
          <w:szCs w:val="45"/>
          <w:lang w:val="ru-RU"/>
        </w:rPr>
        <w:t xml:space="preserve">требителей </w:t>
      </w:r>
      <w:proofErr w:type="spellStart"/>
      <w:r>
        <w:rPr>
          <w:rFonts w:ascii="Segoe UI" w:eastAsia="Times New Roman" w:hAnsi="Segoe UI" w:cs="Segoe UI"/>
          <w:color w:val="000000"/>
          <w:sz w:val="45"/>
          <w:szCs w:val="45"/>
          <w:lang w:val="ru-RU"/>
        </w:rPr>
        <w:t>Древесно</w:t>
      </w:r>
      <w:proofErr w:type="spellEnd"/>
      <w:r>
        <w:rPr>
          <w:rFonts w:ascii="Segoe UI" w:eastAsia="Times New Roman" w:hAnsi="Segoe UI" w:cs="Segoe UI"/>
          <w:color w:val="000000"/>
          <w:sz w:val="45"/>
          <w:szCs w:val="45"/>
          <w:lang w:val="ru-RU"/>
        </w:rPr>
        <w:t xml:space="preserve"> Полимерного Композита</w:t>
      </w:r>
      <w:r w:rsidRPr="000671F2">
        <w:rPr>
          <w:rFonts w:ascii="Segoe UI" w:eastAsia="Times New Roman" w:hAnsi="Segoe UI" w:cs="Segoe UI"/>
          <w:color w:val="000000"/>
          <w:sz w:val="45"/>
          <w:szCs w:val="45"/>
          <w:lang w:val="ru-RU"/>
        </w:rPr>
        <w:t xml:space="preserve"> (АПП</w:t>
      </w:r>
      <w:r>
        <w:rPr>
          <w:rFonts w:ascii="Segoe UI" w:eastAsia="Times New Roman" w:hAnsi="Segoe UI" w:cs="Segoe UI"/>
          <w:color w:val="000000"/>
          <w:sz w:val="45"/>
          <w:szCs w:val="45"/>
          <w:lang w:val="ru-RU"/>
        </w:rPr>
        <w:t>ДПК</w:t>
      </w:r>
      <w:r w:rsidRPr="000671F2">
        <w:rPr>
          <w:rFonts w:ascii="Segoe UI" w:eastAsia="Times New Roman" w:hAnsi="Segoe UI" w:cs="Segoe UI"/>
          <w:color w:val="000000"/>
          <w:sz w:val="45"/>
          <w:szCs w:val="45"/>
          <w:lang w:val="ru-RU"/>
        </w:rPr>
        <w:t>)</w:t>
      </w:r>
      <w:r w:rsidRPr="000671F2">
        <w:rPr>
          <w:rFonts w:ascii="Segoe UI" w:eastAsia="Times New Roman" w:hAnsi="Segoe UI" w:cs="Segoe UI"/>
          <w:color w:val="00633C"/>
          <w:sz w:val="45"/>
          <w:szCs w:val="45"/>
          <w:lang w:val="ru-RU"/>
        </w:rPr>
        <w:br/>
      </w:r>
      <w:r w:rsidRPr="000671F2">
        <w:rPr>
          <w:rFonts w:ascii="Segoe UI" w:eastAsia="Times New Roman" w:hAnsi="Segoe UI" w:cs="Segoe UI"/>
          <w:color w:val="00633C"/>
          <w:sz w:val="45"/>
          <w:szCs w:val="45"/>
        </w:rPr>
        <w:t> </w:t>
      </w:r>
    </w:p>
    <w:p w:rsidR="000671F2" w:rsidRPr="000671F2" w:rsidRDefault="000671F2" w:rsidP="000671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</w:p>
    <w:p w:rsidR="000671F2" w:rsidRPr="000671F2" w:rsidRDefault="000671F2" w:rsidP="000671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b/>
          <w:bCs/>
          <w:color w:val="343434"/>
          <w:sz w:val="24"/>
          <w:szCs w:val="24"/>
          <w:lang w:val="ru-RU"/>
        </w:rPr>
        <w:t>1.</w:t>
      </w:r>
      <w:r w:rsidRPr="000671F2">
        <w:rPr>
          <w:rFonts w:ascii="Arial" w:eastAsia="Times New Roman" w:hAnsi="Arial" w:cs="Arial"/>
          <w:b/>
          <w:bCs/>
          <w:color w:val="343434"/>
          <w:sz w:val="24"/>
          <w:szCs w:val="24"/>
        </w:rPr>
        <w:t> </w:t>
      </w:r>
      <w:r w:rsidRPr="000671F2">
        <w:rPr>
          <w:rFonts w:ascii="Arial" w:eastAsia="Times New Roman" w:hAnsi="Arial" w:cs="Arial"/>
          <w:b/>
          <w:bCs/>
          <w:color w:val="343434"/>
          <w:sz w:val="24"/>
          <w:szCs w:val="24"/>
          <w:lang w:val="ru-RU"/>
        </w:rPr>
        <w:t>ОБЩИЕ ПОЛОЖЕНИЯ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1.1. Настоящее Положение разработано в соответствии с законодательством Российской Федерации и Уставом некоммерческой организации Ассоциация Производителей Посадочного Материала (АПП</w:t>
      </w:r>
      <w:r>
        <w:rPr>
          <w:rFonts w:ascii="Arial" w:eastAsia="Times New Roman" w:hAnsi="Arial" w:cs="Arial"/>
          <w:color w:val="343434"/>
          <w:sz w:val="24"/>
          <w:szCs w:val="24"/>
          <w:lang w:val="ru-RU"/>
        </w:rPr>
        <w:t>ДПК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) (далее – Ассоциация) и определяет порядок уплаты членами Ассоциации регулярных и единовременных взносов (вступительных, членских и целевых) и пожертвований.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1.2. Регулярные и единовременные взносы (вступительные, членские и целевые), добровольные денежные и имущественные взносы и пожертвования являются основными источниками формирования имущества и обеспечения уставной деятельности АПП</w:t>
      </w:r>
      <w:r>
        <w:rPr>
          <w:rFonts w:ascii="Arial" w:eastAsia="Times New Roman" w:hAnsi="Arial" w:cs="Arial"/>
          <w:color w:val="343434"/>
          <w:sz w:val="24"/>
          <w:szCs w:val="24"/>
          <w:lang w:val="ru-RU"/>
        </w:rPr>
        <w:t>ДПК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, направленной на достижение целей его создания.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1.3. В соответствии с п. 4 Устава АПП</w:t>
      </w:r>
      <w:r>
        <w:rPr>
          <w:rFonts w:ascii="Arial" w:eastAsia="Times New Roman" w:hAnsi="Arial" w:cs="Arial"/>
          <w:color w:val="343434"/>
          <w:sz w:val="24"/>
          <w:szCs w:val="24"/>
          <w:lang w:val="ru-RU"/>
        </w:rPr>
        <w:t>ДПК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своевременная уплата регулярных и единовременных взносов (вступительных, членских и целевых) в установленном размере является обязанностью члена АПП</w:t>
      </w:r>
      <w:r>
        <w:rPr>
          <w:rFonts w:ascii="Arial" w:eastAsia="Times New Roman" w:hAnsi="Arial" w:cs="Arial"/>
          <w:color w:val="343434"/>
          <w:sz w:val="24"/>
          <w:szCs w:val="24"/>
          <w:lang w:val="ru-RU"/>
        </w:rPr>
        <w:t>ДПК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и обязательным условием его членства в Ассоциации.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1.4. Порядок уплаты и размер регулярных и единовременных взносов (вступительных, членских и целевых) определяется Общим собранием членов Ассоциации.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1.5. Взносы могут оплачиваться деньгами, ценными бумагами, другим имуществом и неимущественными правами либо иными правами, имеющими 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lastRenderedPageBreak/>
        <w:t xml:space="preserve">денежную оценку. Стоимость вносимого имущества оценивается 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по согласованию между кандидатом в члены Ассоциации и Общим собранием членов Ассоциации.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1.6. При выходе или исключении из Ассоциации регулярные и единовременные взносы (вступительные, членские и целевые), а также добровольные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взносы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и пожертвования возврату не подлежат.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1.7. Основанием для уплаты регулярных и единовременных взносов (вступительных, членских и целевых) являются счета, выставляемые Ассоциацией.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1.8. Организация приема, учета взносов и отчета об их использован</w:t>
      </w:r>
      <w:r w:rsidR="00101FB9">
        <w:rPr>
          <w:rFonts w:ascii="Arial" w:eastAsia="Times New Roman" w:hAnsi="Arial" w:cs="Arial"/>
          <w:color w:val="343434"/>
          <w:sz w:val="24"/>
          <w:szCs w:val="24"/>
          <w:lang w:val="ru-RU"/>
        </w:rPr>
        <w:t>ии возлагается на исполнительного директора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Ассоциации.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1.9. При уклонении от уплаты членс</w:t>
      </w:r>
      <w:r w:rsidR="00101FB9">
        <w:rPr>
          <w:rFonts w:ascii="Arial" w:eastAsia="Times New Roman" w:hAnsi="Arial" w:cs="Arial"/>
          <w:color w:val="343434"/>
          <w:sz w:val="24"/>
          <w:szCs w:val="24"/>
          <w:lang w:val="ru-RU"/>
        </w:rPr>
        <w:t>ких взносов (неуплата свыше 2 месяцев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без уважительных причин) может быть принято решение об исключении </w:t>
      </w:r>
      <w:r w:rsidR="00101FB9">
        <w:rPr>
          <w:rFonts w:ascii="Arial" w:eastAsia="Times New Roman" w:hAnsi="Arial" w:cs="Arial"/>
          <w:color w:val="343434"/>
          <w:sz w:val="24"/>
          <w:szCs w:val="24"/>
          <w:lang w:val="ru-RU"/>
        </w:rPr>
        <w:t>из Ассоциации данного члена АППДПК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1.10. Денежные средства, полученные от поступления членских взносов, расходуются в соответствии с целями и задачами, предусмотренными Уставом Ассоциации.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</w:p>
    <w:p w:rsidR="000671F2" w:rsidRPr="000671F2" w:rsidRDefault="000671F2" w:rsidP="000671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br/>
      </w:r>
      <w:r w:rsidRPr="000671F2">
        <w:rPr>
          <w:rFonts w:ascii="Arial" w:eastAsia="Times New Roman" w:hAnsi="Arial" w:cs="Arial"/>
          <w:b/>
          <w:bCs/>
          <w:color w:val="343434"/>
          <w:sz w:val="24"/>
          <w:szCs w:val="24"/>
          <w:lang w:val="ru-RU"/>
        </w:rPr>
        <w:t>2. ВИДЫ ВЗНОСОВ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2.1. Ассоциацией устанавливаются следующие виды взносов: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– единовременный вступительный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взнос;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– </w:t>
      </w:r>
      <w:proofErr w:type="spellStart"/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еж</w:t>
      </w:r>
      <w:r w:rsidR="00101FB9">
        <w:rPr>
          <w:rFonts w:ascii="Arial" w:eastAsia="Times New Roman" w:hAnsi="Arial" w:cs="Arial"/>
          <w:color w:val="343434"/>
          <w:sz w:val="24"/>
          <w:szCs w:val="24"/>
          <w:lang w:val="ru-RU"/>
        </w:rPr>
        <w:t>месячный</w:t>
      </w:r>
      <w:proofErr w:type="spellEnd"/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членский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взнос;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–целевые взносы;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- добровольные имущественные взносы и пожертвования.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b/>
          <w:bCs/>
          <w:color w:val="343434"/>
          <w:sz w:val="24"/>
          <w:szCs w:val="24"/>
          <w:lang w:val="ru-RU"/>
        </w:rPr>
        <w:t>2.2. Единовременный вступительный</w:t>
      </w:r>
      <w:r w:rsidRPr="000671F2">
        <w:rPr>
          <w:rFonts w:ascii="Arial" w:eastAsia="Times New Roman" w:hAnsi="Arial" w:cs="Arial"/>
          <w:b/>
          <w:bCs/>
          <w:color w:val="343434"/>
          <w:sz w:val="24"/>
          <w:szCs w:val="24"/>
        </w:rPr>
        <w:t> </w:t>
      </w:r>
      <w:r w:rsidRPr="000671F2">
        <w:rPr>
          <w:rFonts w:ascii="Arial" w:eastAsia="Times New Roman" w:hAnsi="Arial" w:cs="Arial"/>
          <w:b/>
          <w:bCs/>
          <w:color w:val="343434"/>
          <w:sz w:val="24"/>
          <w:szCs w:val="24"/>
          <w:lang w:val="ru-RU"/>
        </w:rPr>
        <w:t xml:space="preserve"> взнос.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2.2.1. Вновь принятый член Ассоциации обязан внести единовременный вступительный взнос.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2.2.2. Размер единовременного вступительного взноса определяется Общим собранием членов Ассоциации.</w:t>
      </w:r>
    </w:p>
    <w:p w:rsidR="000671F2" w:rsidRPr="000671F2" w:rsidRDefault="00101FB9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color w:val="343434"/>
          <w:sz w:val="24"/>
          <w:szCs w:val="24"/>
          <w:lang w:val="ru-RU"/>
        </w:rPr>
        <w:t>2.3. Регулярный (ежемесячный</w:t>
      </w:r>
      <w:r w:rsidR="000671F2" w:rsidRPr="000671F2">
        <w:rPr>
          <w:rFonts w:ascii="Arial" w:eastAsia="Times New Roman" w:hAnsi="Arial" w:cs="Arial"/>
          <w:b/>
          <w:bCs/>
          <w:color w:val="343434"/>
          <w:sz w:val="24"/>
          <w:szCs w:val="24"/>
          <w:lang w:val="ru-RU"/>
        </w:rPr>
        <w:t>) членский взнос.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2.3.1. Каждый член Ассоци</w:t>
      </w:r>
      <w:r w:rsidR="00101FB9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ации обязан уплачивать ежемесячный 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членский взнос. Обязанность по оплате еже</w:t>
      </w:r>
      <w:r w:rsidR="00101FB9">
        <w:rPr>
          <w:rFonts w:ascii="Arial" w:eastAsia="Times New Roman" w:hAnsi="Arial" w:cs="Arial"/>
          <w:color w:val="343434"/>
          <w:sz w:val="24"/>
          <w:szCs w:val="24"/>
          <w:lang w:val="ru-RU"/>
        </w:rPr>
        <w:t>месячн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ых членских взносов возникает с момента принятия в члены Ассоциации.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2.3.2. Размер единовременного вступительного взноса определяется Общим собранием членов Ассоциации.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2.3.3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Первоначальный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ежегодный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членский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взнос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 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оплачивается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каждым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  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кандидатом в члены Ассоциации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 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одновременно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со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вступительным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взносом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в течение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 </w:t>
      </w:r>
      <w:r w:rsidRPr="000671F2">
        <w:rPr>
          <w:rFonts w:ascii="Arial" w:eastAsia="Times New Roman" w:hAnsi="Arial" w:cs="Arial"/>
          <w:b/>
          <w:bCs/>
          <w:color w:val="343434"/>
          <w:sz w:val="24"/>
          <w:szCs w:val="24"/>
          <w:lang w:val="ru-RU"/>
        </w:rPr>
        <w:t>10 дней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  <w:proofErr w:type="gramStart"/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с даты принятия</w:t>
      </w:r>
      <w:proofErr w:type="gramEnd"/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Правлением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Ассоциации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решения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о приеме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соответствующего 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кандидата 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в члены Ассоциации. 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Второй и последующие ежегодные членские взносы оплачиваются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     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каждым членом Ассоциации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в соответствии с Положением о порядке уплаты 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взносов.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2.3.4. Вновь вступивший член Ассоциации оплачивает еже</w:t>
      </w:r>
      <w:r w:rsidR="00101FB9">
        <w:rPr>
          <w:rFonts w:ascii="Arial" w:eastAsia="Times New Roman" w:hAnsi="Arial" w:cs="Arial"/>
          <w:color w:val="343434"/>
          <w:sz w:val="24"/>
          <w:szCs w:val="24"/>
          <w:lang w:val="ru-RU"/>
        </w:rPr>
        <w:t>месяч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ные членские взносы пропорционально </w:t>
      </w:r>
      <w:r w:rsidR="00101FB9">
        <w:rPr>
          <w:rFonts w:ascii="Arial" w:eastAsia="Times New Roman" w:hAnsi="Arial" w:cs="Arial"/>
          <w:color w:val="343434"/>
          <w:sz w:val="24"/>
          <w:szCs w:val="24"/>
          <w:lang w:val="ru-RU"/>
        </w:rPr>
        <w:t>времени нахождения в Ассоциации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. При этом срок свыше 15 календарных дней месяца засчитывается как один месяц.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lastRenderedPageBreak/>
        <w:t>2.3.5.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  <w:r w:rsidRPr="000671F2">
        <w:rPr>
          <w:rFonts w:ascii="Arial" w:eastAsia="Times New Roman" w:hAnsi="Arial" w:cs="Arial"/>
          <w:b/>
          <w:bCs/>
          <w:color w:val="343434"/>
          <w:sz w:val="24"/>
          <w:szCs w:val="24"/>
          <w:lang w:val="ru-RU"/>
        </w:rPr>
        <w:t>Еже</w:t>
      </w:r>
      <w:r w:rsidR="00101FB9">
        <w:rPr>
          <w:rFonts w:ascii="Arial" w:eastAsia="Times New Roman" w:hAnsi="Arial" w:cs="Arial"/>
          <w:b/>
          <w:bCs/>
          <w:color w:val="343434"/>
          <w:sz w:val="24"/>
          <w:szCs w:val="24"/>
          <w:lang w:val="ru-RU"/>
        </w:rPr>
        <w:t>месяч</w:t>
      </w:r>
      <w:r w:rsidRPr="000671F2">
        <w:rPr>
          <w:rFonts w:ascii="Arial" w:eastAsia="Times New Roman" w:hAnsi="Arial" w:cs="Arial"/>
          <w:b/>
          <w:bCs/>
          <w:color w:val="343434"/>
          <w:sz w:val="24"/>
          <w:szCs w:val="24"/>
          <w:lang w:val="ru-RU"/>
        </w:rPr>
        <w:t xml:space="preserve">ные членские взносы уплачиваются членами Ассоциации один раз в </w:t>
      </w:r>
      <w:r w:rsidR="00101FB9">
        <w:rPr>
          <w:rFonts w:ascii="Arial" w:eastAsia="Times New Roman" w:hAnsi="Arial" w:cs="Arial"/>
          <w:b/>
          <w:bCs/>
          <w:color w:val="343434"/>
          <w:sz w:val="24"/>
          <w:szCs w:val="24"/>
          <w:lang w:val="ru-RU"/>
        </w:rPr>
        <w:t>месяц в полном объеме до 10 числа текущего месяца</w:t>
      </w:r>
      <w:r w:rsidRPr="000671F2">
        <w:rPr>
          <w:rFonts w:ascii="Arial" w:eastAsia="Times New Roman" w:hAnsi="Arial" w:cs="Arial"/>
          <w:b/>
          <w:bCs/>
          <w:color w:val="343434"/>
          <w:sz w:val="24"/>
          <w:szCs w:val="24"/>
          <w:lang w:val="ru-RU"/>
        </w:rPr>
        <w:t>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2.3.6. Члены Ассоциации,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не оплатившие еже</w:t>
      </w:r>
      <w:r w:rsidR="00101FB9">
        <w:rPr>
          <w:rFonts w:ascii="Arial" w:eastAsia="Times New Roman" w:hAnsi="Arial" w:cs="Arial"/>
          <w:color w:val="343434"/>
          <w:sz w:val="24"/>
          <w:szCs w:val="24"/>
          <w:lang w:val="ru-RU"/>
        </w:rPr>
        <w:t>месяч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ный членский </w:t>
      </w:r>
      <w:r w:rsidR="00101FB9">
        <w:rPr>
          <w:rFonts w:ascii="Arial" w:eastAsia="Times New Roman" w:hAnsi="Arial" w:cs="Arial"/>
          <w:color w:val="343434"/>
          <w:sz w:val="24"/>
          <w:szCs w:val="24"/>
          <w:lang w:val="ru-RU"/>
        </w:rPr>
        <w:t>взнос до конца календарного месяца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без объяснительных причин, могут быть исключены из членов АПП</w:t>
      </w:r>
      <w:r w:rsidR="00101FB9">
        <w:rPr>
          <w:rFonts w:ascii="Arial" w:eastAsia="Times New Roman" w:hAnsi="Arial" w:cs="Arial"/>
          <w:color w:val="343434"/>
          <w:sz w:val="24"/>
          <w:szCs w:val="24"/>
          <w:lang w:val="ru-RU"/>
        </w:rPr>
        <w:t>ДПК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2.3.7. В исключительных случаях, сроки уплаты ежегодных членских взносов для отдельных членов Ассоциации могут быть изменены. Решение об изменении сроков уплаты принимается Правлением Ассоциации персонально по каждому члену Ассоциации на основании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его письменно</w:t>
      </w:r>
      <w:r w:rsidR="00101FB9">
        <w:rPr>
          <w:rFonts w:ascii="Arial" w:eastAsia="Times New Roman" w:hAnsi="Arial" w:cs="Arial"/>
          <w:color w:val="343434"/>
          <w:sz w:val="24"/>
          <w:szCs w:val="24"/>
          <w:lang w:val="ru-RU"/>
        </w:rPr>
        <w:t>го заявления на имя Исполнительного директора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АПП</w:t>
      </w:r>
      <w:r w:rsidR="00101FB9">
        <w:rPr>
          <w:rFonts w:ascii="Arial" w:eastAsia="Times New Roman" w:hAnsi="Arial" w:cs="Arial"/>
          <w:color w:val="343434"/>
          <w:sz w:val="24"/>
          <w:szCs w:val="24"/>
          <w:lang w:val="ru-RU"/>
        </w:rPr>
        <w:t>ДПК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b/>
          <w:bCs/>
          <w:color w:val="343434"/>
          <w:sz w:val="24"/>
          <w:szCs w:val="24"/>
          <w:lang w:val="ru-RU"/>
        </w:rPr>
        <w:t>2.4. Целевые взносы.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2.4.1. Для финансирования конкретных программ и мероприятий, 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могут устанавливаться</w:t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целевые взносы.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2.4.2. Размер и порядок уплаты целевых взносов устанавливаются решением Общего собрания Ассоциации.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b/>
          <w:bCs/>
          <w:color w:val="343434"/>
          <w:sz w:val="24"/>
          <w:szCs w:val="24"/>
          <w:lang w:val="ru-RU"/>
        </w:rPr>
        <w:t xml:space="preserve">2.5. Добровольные имущественные </w:t>
      </w:r>
      <w:r w:rsidRPr="000671F2">
        <w:rPr>
          <w:rFonts w:ascii="Arial" w:eastAsia="Times New Roman" w:hAnsi="Arial" w:cs="Arial"/>
          <w:b/>
          <w:bCs/>
          <w:color w:val="343434"/>
          <w:sz w:val="24"/>
          <w:szCs w:val="24"/>
        </w:rPr>
        <w:t> </w:t>
      </w:r>
      <w:r w:rsidRPr="000671F2">
        <w:rPr>
          <w:rFonts w:ascii="Arial" w:eastAsia="Times New Roman" w:hAnsi="Arial" w:cs="Arial"/>
          <w:b/>
          <w:bCs/>
          <w:color w:val="343434"/>
          <w:sz w:val="24"/>
          <w:szCs w:val="24"/>
          <w:lang w:val="ru-RU"/>
        </w:rPr>
        <w:t>взносы и пожертвования.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2.5.1. Члены Ассоциации вправе внести в Ассоциацию добровольный взнос или пожертвование.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2.5.2. Член Ассоциации, принявший решение о внесении в Ассоциацию добровольного взноса или пожертвования, сообщает об этом Ассоциации путем направления соответствующего уведомления на имя Исполнительного директора Ассоциации с указанием суммы добровольного взноса или пожертвования и срока его внесения.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2.5.3. Добровольные взносы и пожертвования могут носить имущественный характер.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2.5.4. Добровольные взносы и пожертвования используются Ассоциацией на уставные цели в соответствии с назначением передаваемого имущества.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b/>
          <w:bCs/>
          <w:color w:val="343434"/>
          <w:sz w:val="24"/>
          <w:szCs w:val="24"/>
          <w:lang w:val="ru-RU"/>
        </w:rPr>
        <w:t>2.6. Право на освобождение от уплаты ежегодных членских взносов.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Право на освобождение от уплаты ежегодных взносов имеют следующие категории членов Ассоциации: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2.6.1. Профильные государственные образовательные учреждения.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2.6.2. Профильные государственные научно-исследовательские учреждения.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</w:p>
    <w:p w:rsidR="000671F2" w:rsidRPr="000671F2" w:rsidRDefault="000671F2" w:rsidP="000671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br/>
      </w:r>
      <w:r w:rsidRPr="000671F2">
        <w:rPr>
          <w:rFonts w:ascii="Arial" w:eastAsia="Times New Roman" w:hAnsi="Arial" w:cs="Arial"/>
          <w:b/>
          <w:bCs/>
          <w:color w:val="343434"/>
          <w:sz w:val="24"/>
          <w:szCs w:val="24"/>
          <w:lang w:val="ru-RU"/>
        </w:rPr>
        <w:t>3. ЗАКЛЮЧИТЕЛЬНЫЕ ПОЛОЖЕНИЯ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3.1. </w:t>
      </w:r>
      <w:proofErr w:type="gramStart"/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Контроль за</w:t>
      </w:r>
      <w:proofErr w:type="gramEnd"/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своевременной уплатой членских взносов членами Ассоциации о</w:t>
      </w:r>
      <w:r w:rsidR="00E2564E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существляет Исполнительный директор 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 xml:space="preserve"> Ассоциации.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3.2. Ведомости уплаты вступительных и членских взносов и документы о перечислении денег через финансово-кредитные учреждения хранятся в бухгалтерии Ассоциации как документы строгой отчетности в течение срока установленного действующими правилами бухгалтерского учета.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3.3. Проверку правильности уплаты членских взносов, их учета и надлежащего расходования проводит Ревизионная комиссия Ассоциации.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t>3.4. Итоги ежегодного поступления взносов рассматриваются на общем собрании Ассоциации.</w:t>
      </w: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</w:rPr>
        <w:lastRenderedPageBreak/>
        <w:t> </w:t>
      </w:r>
    </w:p>
    <w:p w:rsidR="000671F2" w:rsidRPr="000671F2" w:rsidRDefault="000671F2" w:rsidP="000671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br/>
      </w:r>
      <w:r w:rsidRPr="000671F2">
        <w:rPr>
          <w:rFonts w:ascii="Arial" w:eastAsia="Times New Roman" w:hAnsi="Arial" w:cs="Arial"/>
          <w:b/>
          <w:bCs/>
          <w:color w:val="343434"/>
          <w:sz w:val="24"/>
          <w:szCs w:val="24"/>
          <w:lang w:val="ru-RU"/>
        </w:rPr>
        <w:t>4. РЕКВИЗИТЫ УПЛАТЫ ВЗНОСОВ</w:t>
      </w:r>
      <w:r w:rsidRPr="000671F2">
        <w:rPr>
          <w:rFonts w:ascii="Arial" w:eastAsia="Times New Roman" w:hAnsi="Arial" w:cs="Arial"/>
          <w:color w:val="343434"/>
          <w:sz w:val="24"/>
          <w:szCs w:val="24"/>
          <w:lang w:val="ru-RU"/>
        </w:rPr>
        <w:br/>
      </w: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</w:p>
    <w:p w:rsid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770"/>
      </w:tblGrid>
      <w:tr w:rsidR="000C22F6" w:rsidRPr="000C22F6" w:rsidTr="00BB0BE8">
        <w:tc>
          <w:tcPr>
            <w:tcW w:w="4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Полное наименование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</w:pPr>
            <w:r>
              <w:rPr>
                <w:lang w:val="ru-RU"/>
              </w:rPr>
              <w:t>Ассоциация производителей и потребителей древесно-полимерных композитов</w:t>
            </w:r>
          </w:p>
        </w:tc>
      </w:tr>
      <w:tr w:rsidR="000C22F6" w:rsidTr="00BB0BE8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Сокращенное наименование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</w:pPr>
            <w:r>
              <w:rPr>
                <w:lang w:val="ru-RU"/>
              </w:rPr>
              <w:t>Ассоциация «ПП ДПК»</w:t>
            </w:r>
          </w:p>
        </w:tc>
      </w:tr>
      <w:tr w:rsidR="000C22F6" w:rsidTr="00BB0BE8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  <w:rPr>
                <w:rFonts w:eastAsia="TimesNewRomanPSMT" w:cs="TimesNewRomanPSMT"/>
              </w:rPr>
            </w:pPr>
            <w:r>
              <w:rPr>
                <w:lang w:val="ru-RU"/>
              </w:rPr>
              <w:t>ОГРН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  <w:autoSpaceDE w:val="0"/>
            </w:pPr>
            <w:r>
              <w:rPr>
                <w:rFonts w:eastAsia="TimesNewRomanPSMT" w:cs="TimesNewRomanPSMT"/>
              </w:rPr>
              <w:t>1167700075840</w:t>
            </w:r>
          </w:p>
        </w:tc>
      </w:tr>
      <w:tr w:rsidR="000C22F6" w:rsidTr="00BB0BE8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</w:pPr>
            <w:r>
              <w:rPr>
                <w:lang w:val="ru-RU"/>
              </w:rPr>
              <w:t>ИНН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</w:pPr>
            <w:r>
              <w:t>7708307049</w:t>
            </w:r>
          </w:p>
        </w:tc>
      </w:tr>
      <w:tr w:rsidR="000C22F6" w:rsidTr="00BB0BE8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</w:pPr>
            <w:r>
              <w:rPr>
                <w:lang w:val="ru-RU"/>
              </w:rPr>
              <w:t>КПП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</w:pPr>
            <w:r>
              <w:t>770801001</w:t>
            </w:r>
          </w:p>
        </w:tc>
      </w:tr>
      <w:tr w:rsidR="000C22F6" w:rsidTr="00BB0BE8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</w:pPr>
            <w:r>
              <w:rPr>
                <w:lang w:val="ru-RU"/>
              </w:rPr>
              <w:t>Адрес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  <w:rPr>
                <w:lang w:val="ru-RU"/>
              </w:rPr>
            </w:pPr>
            <w:r>
              <w:t xml:space="preserve">107045, </w:t>
            </w:r>
            <w:r>
              <w:rPr>
                <w:lang w:val="ru-RU"/>
              </w:rPr>
              <w:t xml:space="preserve">г. Москва, Луков переулок, д. 4, </w:t>
            </w:r>
          </w:p>
          <w:p w:rsidR="000C22F6" w:rsidRDefault="000C22F6" w:rsidP="00BB0BE8">
            <w:pPr>
              <w:pStyle w:val="a6"/>
            </w:pPr>
            <w:r>
              <w:rPr>
                <w:lang w:val="ru-RU"/>
              </w:rPr>
              <w:t xml:space="preserve">пом. </w:t>
            </w:r>
            <w:r>
              <w:rPr>
                <w:lang w:val="en-US"/>
              </w:rPr>
              <w:t xml:space="preserve">I, </w:t>
            </w:r>
            <w:r>
              <w:rPr>
                <w:lang w:val="ru-RU"/>
              </w:rPr>
              <w:t>ком. 8</w:t>
            </w:r>
          </w:p>
        </w:tc>
      </w:tr>
      <w:tr w:rsidR="000C22F6" w:rsidTr="00BB0BE8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  <w:rPr>
                <w:rFonts w:ascii="TimesNewRomanPSMT" w:eastAsia="TimesNewRomanPSMT" w:hAnsi="TimesNewRomanPSMT" w:cs="TimesNewRomanPSMT"/>
              </w:rPr>
            </w:pPr>
            <w:r>
              <w:rPr>
                <w:lang w:val="ru-RU"/>
              </w:rPr>
              <w:t>Дата государственной регистрации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  <w:autoSpaceDE w:val="0"/>
            </w:pPr>
            <w:r>
              <w:rPr>
                <w:rFonts w:ascii="TimesNewRomanPSMT" w:eastAsia="TimesNewRomanPSMT" w:hAnsi="TimesNewRomanPSMT" w:cs="TimesNewRomanPSMT"/>
              </w:rPr>
              <w:t>19.12.2016</w:t>
            </w:r>
          </w:p>
        </w:tc>
      </w:tr>
      <w:tr w:rsidR="000C22F6" w:rsidTr="00BB0BE8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ОКПО 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</w:pPr>
            <w:r>
              <w:rPr>
                <w:lang w:val="ru-RU"/>
              </w:rPr>
              <w:t>6064113</w:t>
            </w:r>
          </w:p>
        </w:tc>
      </w:tr>
      <w:tr w:rsidR="000C22F6" w:rsidTr="00BB0BE8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</w:pPr>
            <w:r>
              <w:rPr>
                <w:lang w:val="ru-RU"/>
              </w:rPr>
              <w:t>ОКАТО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</w:pPr>
            <w:r>
              <w:t>45286565000</w:t>
            </w:r>
          </w:p>
        </w:tc>
      </w:tr>
      <w:tr w:rsidR="000C22F6" w:rsidTr="00BB0BE8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</w:pPr>
            <w:r>
              <w:rPr>
                <w:lang w:val="ru-RU"/>
              </w:rPr>
              <w:t>ОКТМО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</w:pPr>
            <w:r>
              <w:t>45378000000</w:t>
            </w:r>
          </w:p>
        </w:tc>
      </w:tr>
      <w:tr w:rsidR="000C22F6" w:rsidTr="00BB0BE8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</w:pPr>
            <w:r>
              <w:rPr>
                <w:lang w:val="ru-RU"/>
              </w:rPr>
              <w:t>ОКОГУ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</w:pPr>
            <w:r>
              <w:t>4210014</w:t>
            </w:r>
          </w:p>
        </w:tc>
      </w:tr>
      <w:tr w:rsidR="000C22F6" w:rsidTr="00BB0BE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ОКФС</w:t>
            </w:r>
          </w:p>
        </w:tc>
        <w:tc>
          <w:tcPr>
            <w:tcW w:w="4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</w:pPr>
            <w:r>
              <w:rPr>
                <w:lang w:val="ru-RU"/>
              </w:rPr>
              <w:t>16</w:t>
            </w:r>
          </w:p>
        </w:tc>
      </w:tr>
      <w:tr w:rsidR="000C22F6" w:rsidTr="00BB0BE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</w:pPr>
            <w:r>
              <w:rPr>
                <w:lang w:val="ru-RU"/>
              </w:rPr>
              <w:t>ОКОПФ</w:t>
            </w:r>
          </w:p>
        </w:tc>
        <w:tc>
          <w:tcPr>
            <w:tcW w:w="4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</w:pPr>
            <w:r>
              <w:t>20600</w:t>
            </w:r>
          </w:p>
        </w:tc>
      </w:tr>
      <w:tr w:rsidR="000C22F6" w:rsidTr="00BB0BE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Расчетный счет</w:t>
            </w:r>
          </w:p>
        </w:tc>
        <w:tc>
          <w:tcPr>
            <w:tcW w:w="4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22F6" w:rsidRDefault="000C22F6" w:rsidP="00BB0BE8">
            <w:pPr>
              <w:pStyle w:val="a6"/>
            </w:pPr>
          </w:p>
        </w:tc>
      </w:tr>
    </w:tbl>
    <w:p w:rsidR="00E2564E" w:rsidRDefault="00E2564E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</w:p>
    <w:p w:rsidR="00E2564E" w:rsidRDefault="00E2564E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</w:p>
    <w:p w:rsidR="00E2564E" w:rsidRDefault="00E2564E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</w:p>
    <w:p w:rsidR="00E2564E" w:rsidRDefault="00E2564E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</w:p>
    <w:p w:rsidR="00E2564E" w:rsidRPr="000671F2" w:rsidRDefault="00E2564E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</w:p>
    <w:p w:rsidR="000671F2" w:rsidRPr="000671F2" w:rsidRDefault="000671F2" w:rsidP="00067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val="ru-RU"/>
        </w:rPr>
      </w:pPr>
      <w:r w:rsidRPr="000671F2">
        <w:rPr>
          <w:rFonts w:ascii="Arial" w:eastAsia="Times New Roman" w:hAnsi="Arial" w:cs="Arial"/>
          <w:color w:val="343434"/>
          <w:sz w:val="24"/>
          <w:szCs w:val="24"/>
        </w:rPr>
        <w:t> </w:t>
      </w:r>
    </w:p>
    <w:p w:rsidR="003A43E6" w:rsidRPr="000671F2" w:rsidRDefault="003A43E6">
      <w:pPr>
        <w:rPr>
          <w:lang w:val="ru-RU"/>
        </w:rPr>
      </w:pPr>
      <w:bookmarkStart w:id="0" w:name="_GoBack"/>
      <w:bookmarkEnd w:id="0"/>
    </w:p>
    <w:sectPr w:rsidR="003A43E6" w:rsidRPr="00067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F2"/>
    <w:rsid w:val="000671F2"/>
    <w:rsid w:val="000C22F6"/>
    <w:rsid w:val="00101FB9"/>
    <w:rsid w:val="003A43E6"/>
    <w:rsid w:val="00817098"/>
    <w:rsid w:val="00E2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71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0671F2"/>
    <w:rPr>
      <w:i/>
      <w:iCs/>
    </w:rPr>
  </w:style>
  <w:style w:type="character" w:styleId="a4">
    <w:name w:val="Strong"/>
    <w:basedOn w:val="a0"/>
    <w:uiPriority w:val="22"/>
    <w:qFormat/>
    <w:rsid w:val="000671F2"/>
    <w:rPr>
      <w:b/>
      <w:bCs/>
    </w:rPr>
  </w:style>
  <w:style w:type="character" w:styleId="a5">
    <w:name w:val="Hyperlink"/>
    <w:basedOn w:val="a0"/>
    <w:uiPriority w:val="99"/>
    <w:semiHidden/>
    <w:unhideWhenUsed/>
    <w:rsid w:val="000671F2"/>
    <w:rPr>
      <w:color w:val="0000FF"/>
      <w:u w:val="single"/>
    </w:rPr>
  </w:style>
  <w:style w:type="paragraph" w:customStyle="1" w:styleId="a6">
    <w:name w:val="Содержимое таблицы"/>
    <w:basedOn w:val="a"/>
    <w:rsid w:val="000C22F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71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0671F2"/>
    <w:rPr>
      <w:i/>
      <w:iCs/>
    </w:rPr>
  </w:style>
  <w:style w:type="character" w:styleId="a4">
    <w:name w:val="Strong"/>
    <w:basedOn w:val="a0"/>
    <w:uiPriority w:val="22"/>
    <w:qFormat/>
    <w:rsid w:val="000671F2"/>
    <w:rPr>
      <w:b/>
      <w:bCs/>
    </w:rPr>
  </w:style>
  <w:style w:type="character" w:styleId="a5">
    <w:name w:val="Hyperlink"/>
    <w:basedOn w:val="a0"/>
    <w:uiPriority w:val="99"/>
    <w:semiHidden/>
    <w:unhideWhenUsed/>
    <w:rsid w:val="000671F2"/>
    <w:rPr>
      <w:color w:val="0000FF"/>
      <w:u w:val="single"/>
    </w:rPr>
  </w:style>
  <w:style w:type="paragraph" w:customStyle="1" w:styleId="a6">
    <w:name w:val="Содержимое таблицы"/>
    <w:basedOn w:val="a"/>
    <w:rsid w:val="000C22F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mvr</dc:creator>
  <cp:lastModifiedBy>mvr</cp:lastModifiedBy>
  <cp:revision>3</cp:revision>
  <dcterms:created xsi:type="dcterms:W3CDTF">2017-04-11T12:42:00Z</dcterms:created>
  <dcterms:modified xsi:type="dcterms:W3CDTF">2017-04-11T13:31:00Z</dcterms:modified>
</cp:coreProperties>
</file>